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90" w:rsidRPr="007C392C" w:rsidRDefault="00880C59" w:rsidP="00880C59">
      <w:pPr>
        <w:jc w:val="center"/>
        <w:rPr>
          <w:rFonts w:ascii="Times New Roman" w:hAnsi="Times New Roman" w:cs="Times New Roman"/>
          <w:bCs/>
        </w:rPr>
      </w:pPr>
      <w:r w:rsidRPr="007C392C">
        <w:rPr>
          <w:rFonts w:ascii="Times New Roman" w:hAnsi="Times New Roman" w:cs="Times New Roman"/>
          <w:bCs/>
        </w:rPr>
        <w:t>Dyslexia</w:t>
      </w:r>
    </w:p>
    <w:p w:rsidR="00880C59" w:rsidRDefault="00880C59" w:rsidP="007C392C">
      <w:pPr>
        <w:spacing w:line="480" w:lineRule="auto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Dy</w:t>
      </w:r>
      <w:r w:rsidRPr="00880C59">
        <w:rPr>
          <w:rFonts w:ascii="Times New Roman" w:hAnsi="Times New Roman" w:cs="Times New Roman"/>
          <w:b w:val="0"/>
          <w:bCs/>
        </w:rPr>
        <w:t>slexia is also known as a Specific Reading Disability. The students affected will struggle with reading and spelling while displaying average ability to learn in the absence of print</w:t>
      </w:r>
      <w:r>
        <w:rPr>
          <w:rFonts w:ascii="Times New Roman" w:hAnsi="Times New Roman" w:cs="Times New Roman"/>
          <w:b w:val="0"/>
          <w:bCs/>
        </w:rPr>
        <w:t>.  They can benefit from the</w:t>
      </w:r>
      <w:r w:rsidRPr="00880C59">
        <w:rPr>
          <w:rFonts w:ascii="Times New Roman" w:hAnsi="Times New Roman" w:cs="Times New Roman"/>
          <w:b w:val="0"/>
          <w:bCs/>
        </w:rPr>
        <w:t xml:space="preserve"> same classroom instruct</w:t>
      </w:r>
      <w:r>
        <w:rPr>
          <w:rFonts w:ascii="Times New Roman" w:hAnsi="Times New Roman" w:cs="Times New Roman"/>
          <w:b w:val="0"/>
          <w:bCs/>
        </w:rPr>
        <w:t>ion that benefits most children. But</w:t>
      </w:r>
      <w:r w:rsidRPr="00880C59">
        <w:rPr>
          <w:rFonts w:ascii="Times New Roman" w:hAnsi="Times New Roman" w:cs="Times New Roman"/>
          <w:b w:val="0"/>
          <w:bCs/>
        </w:rPr>
        <w:t xml:space="preserve"> the</w:t>
      </w:r>
      <w:r>
        <w:rPr>
          <w:rFonts w:ascii="Times New Roman" w:hAnsi="Times New Roman" w:cs="Times New Roman"/>
          <w:b w:val="0"/>
          <w:bCs/>
        </w:rPr>
        <w:t>y will continue</w:t>
      </w:r>
      <w:r w:rsidRPr="00880C59">
        <w:rPr>
          <w:rFonts w:ascii="Times New Roman" w:hAnsi="Times New Roman" w:cs="Times New Roman"/>
          <w:b w:val="0"/>
          <w:bCs/>
        </w:rPr>
        <w:t xml:space="preserve"> to struggle with some or all of the many facets of reading and spelling. </w:t>
      </w:r>
    </w:p>
    <w:p w:rsidR="00880C59" w:rsidRPr="00880C59" w:rsidRDefault="00880C59" w:rsidP="007C392C">
      <w:pPr>
        <w:spacing w:line="480" w:lineRule="auto"/>
        <w:rPr>
          <w:rFonts w:ascii="Times New Roman" w:hAnsi="Times New Roman" w:cs="Times New Roman"/>
          <w:b w:val="0"/>
        </w:rPr>
      </w:pPr>
      <w:r w:rsidRPr="00880C59">
        <w:rPr>
          <w:rFonts w:ascii="Times New Roman" w:hAnsi="Times New Roman" w:cs="Times New Roman"/>
          <w:b w:val="0"/>
        </w:rPr>
        <w:t xml:space="preserve">The </w:t>
      </w:r>
      <w:r w:rsidRPr="00880C59">
        <w:rPr>
          <w:rFonts w:ascii="Times New Roman" w:hAnsi="Times New Roman" w:cs="Times New Roman"/>
          <w:b w:val="0"/>
          <w:bCs/>
        </w:rPr>
        <w:t xml:space="preserve">Texas Education Code (TEC) §38.003 </w:t>
      </w:r>
      <w:proofErr w:type="gramStart"/>
      <w:r w:rsidRPr="00880C59">
        <w:rPr>
          <w:rFonts w:ascii="Times New Roman" w:hAnsi="Times New Roman" w:cs="Times New Roman"/>
          <w:b w:val="0"/>
        </w:rPr>
        <w:t>defines</w:t>
      </w:r>
      <w:proofErr w:type="gramEnd"/>
      <w:r w:rsidRPr="00880C59">
        <w:rPr>
          <w:rFonts w:ascii="Times New Roman" w:hAnsi="Times New Roman" w:cs="Times New Roman"/>
          <w:b w:val="0"/>
        </w:rPr>
        <w:t xml:space="preserve"> dyslexia in the following way: </w:t>
      </w:r>
    </w:p>
    <w:p w:rsidR="007C392C" w:rsidRDefault="00880C59" w:rsidP="007C392C">
      <w:pPr>
        <w:spacing w:line="480" w:lineRule="auto"/>
        <w:ind w:left="1080" w:hanging="360"/>
        <w:rPr>
          <w:rFonts w:ascii="Times New Roman" w:hAnsi="Times New Roman" w:cs="Times New Roman"/>
          <w:b w:val="0"/>
        </w:rPr>
      </w:pPr>
      <w:r w:rsidRPr="00880C59">
        <w:rPr>
          <w:rFonts w:ascii="Times New Roman" w:hAnsi="Times New Roman" w:cs="Times New Roman"/>
          <w:b w:val="0"/>
        </w:rPr>
        <w:t xml:space="preserve">(1) Dyslexia means a disorder of constitutional origin manifested by a difficulty in learning to read, write, or </w:t>
      </w:r>
      <w:r w:rsidRPr="00880C59">
        <w:rPr>
          <w:rFonts w:ascii="Times New Roman" w:hAnsi="Times New Roman" w:cs="Times New Roman"/>
          <w:b w:val="0"/>
        </w:rPr>
        <w:tab/>
        <w:t>spell, despite conventional instr</w:t>
      </w:r>
      <w:r>
        <w:rPr>
          <w:rFonts w:ascii="Times New Roman" w:hAnsi="Times New Roman" w:cs="Times New Roman"/>
          <w:b w:val="0"/>
        </w:rPr>
        <w:t xml:space="preserve">uction, adequate intelligence, </w:t>
      </w:r>
      <w:r w:rsidRPr="00880C59">
        <w:rPr>
          <w:rFonts w:ascii="Times New Roman" w:hAnsi="Times New Roman" w:cs="Times New Roman"/>
          <w:b w:val="0"/>
        </w:rPr>
        <w:t xml:space="preserve">and sociocultural opportunity. </w:t>
      </w:r>
    </w:p>
    <w:p w:rsidR="00880C59" w:rsidRDefault="00880C59" w:rsidP="007C392C">
      <w:pPr>
        <w:spacing w:line="480" w:lineRule="auto"/>
        <w:ind w:left="1080" w:hanging="360"/>
        <w:rPr>
          <w:rFonts w:ascii="Times New Roman" w:hAnsi="Times New Roman" w:cs="Times New Roman"/>
          <w:b w:val="0"/>
        </w:rPr>
      </w:pPr>
      <w:r w:rsidRPr="00880C59">
        <w:rPr>
          <w:rFonts w:ascii="Times New Roman" w:hAnsi="Times New Roman" w:cs="Times New Roman"/>
          <w:b w:val="0"/>
        </w:rPr>
        <w:t xml:space="preserve">(2) Related disorders </w:t>
      </w:r>
      <w:r w:rsidR="007C392C" w:rsidRPr="00880C59">
        <w:rPr>
          <w:rFonts w:ascii="Times New Roman" w:hAnsi="Times New Roman" w:cs="Times New Roman"/>
          <w:b w:val="0"/>
        </w:rPr>
        <w:t>include</w:t>
      </w:r>
      <w:r w:rsidRPr="00880C59">
        <w:rPr>
          <w:rFonts w:ascii="Times New Roman" w:hAnsi="Times New Roman" w:cs="Times New Roman"/>
          <w:b w:val="0"/>
        </w:rPr>
        <w:t xml:space="preserve"> disorders</w:t>
      </w:r>
      <w:r>
        <w:rPr>
          <w:rFonts w:ascii="Times New Roman" w:hAnsi="Times New Roman" w:cs="Times New Roman"/>
          <w:b w:val="0"/>
        </w:rPr>
        <w:t xml:space="preserve"> similar to or </w:t>
      </w:r>
      <w:r w:rsidRPr="00880C59">
        <w:rPr>
          <w:rFonts w:ascii="Times New Roman" w:hAnsi="Times New Roman" w:cs="Times New Roman"/>
          <w:b w:val="0"/>
        </w:rPr>
        <w:t xml:space="preserve">related to dyslexia </w:t>
      </w:r>
      <w:r>
        <w:rPr>
          <w:rFonts w:ascii="Times New Roman" w:hAnsi="Times New Roman" w:cs="Times New Roman"/>
          <w:b w:val="0"/>
        </w:rPr>
        <w:t xml:space="preserve">such as developmental auditory </w:t>
      </w:r>
      <w:r w:rsidRPr="00880C59">
        <w:rPr>
          <w:rFonts w:ascii="Times New Roman" w:hAnsi="Times New Roman" w:cs="Times New Roman"/>
          <w:b w:val="0"/>
        </w:rPr>
        <w:t>imperceptions, dys</w:t>
      </w:r>
      <w:r>
        <w:rPr>
          <w:rFonts w:ascii="Times New Roman" w:hAnsi="Times New Roman" w:cs="Times New Roman"/>
          <w:b w:val="0"/>
        </w:rPr>
        <w:t xml:space="preserve">phasia, specific developmental </w:t>
      </w:r>
      <w:r w:rsidRPr="00880C59">
        <w:rPr>
          <w:rFonts w:ascii="Times New Roman" w:hAnsi="Times New Roman" w:cs="Times New Roman"/>
          <w:b w:val="0"/>
        </w:rPr>
        <w:t xml:space="preserve">dyslexia, </w:t>
      </w:r>
      <w:r>
        <w:rPr>
          <w:rFonts w:ascii="Times New Roman" w:hAnsi="Times New Roman" w:cs="Times New Roman"/>
          <w:b w:val="0"/>
        </w:rPr>
        <w:t xml:space="preserve">developmental dysgraphia, and </w:t>
      </w:r>
      <w:r w:rsidRPr="00880C59">
        <w:rPr>
          <w:rFonts w:ascii="Times New Roman" w:hAnsi="Times New Roman" w:cs="Times New Roman"/>
          <w:b w:val="0"/>
        </w:rPr>
        <w:t xml:space="preserve">developmental spelling disability. </w:t>
      </w:r>
    </w:p>
    <w:p w:rsidR="007C392C" w:rsidRDefault="00D957AB" w:rsidP="007C392C">
      <w:pPr>
        <w:spacing w:line="480" w:lineRule="auto"/>
        <w:ind w:left="360"/>
        <w:rPr>
          <w:rFonts w:ascii="Times New Roman" w:hAnsi="Times New Roman" w:cs="Times New Roman"/>
          <w:b w:val="0"/>
        </w:rPr>
      </w:pPr>
      <w:r w:rsidRPr="007C392C">
        <w:rPr>
          <w:rFonts w:ascii="Times New Roman" w:hAnsi="Times New Roman" w:cs="Times New Roman"/>
          <w:b w:val="0"/>
        </w:rPr>
        <w:t>The primary difficulties of a student identified as having dyslexia occur in</w:t>
      </w:r>
    </w:p>
    <w:p w:rsidR="00B762AB" w:rsidRPr="007C392C" w:rsidRDefault="007C392C" w:rsidP="007C392C">
      <w:pPr>
        <w:pStyle w:val="ListParagraph"/>
        <w:numPr>
          <w:ilvl w:val="0"/>
          <w:numId w:val="2"/>
        </w:numPr>
        <w:spacing w:line="480" w:lineRule="auto"/>
        <w:ind w:left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</w:t>
      </w:r>
      <w:r w:rsidR="00D957AB" w:rsidRPr="007C392C">
        <w:rPr>
          <w:rFonts w:ascii="Times New Roman" w:hAnsi="Times New Roman" w:cs="Times New Roman"/>
          <w:b w:val="0"/>
        </w:rPr>
        <w:t xml:space="preserve">honemic awareness and manipulation, single-word decoding, reading fluency, and spelling. </w:t>
      </w:r>
    </w:p>
    <w:p w:rsidR="00B762AB" w:rsidRPr="007C392C" w:rsidRDefault="00D957AB" w:rsidP="007C392C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b w:val="0"/>
        </w:rPr>
      </w:pPr>
      <w:r w:rsidRPr="007C392C">
        <w:rPr>
          <w:rFonts w:ascii="Times New Roman" w:hAnsi="Times New Roman" w:cs="Times New Roman"/>
          <w:b w:val="0"/>
        </w:rPr>
        <w:t xml:space="preserve">Secondary consequences of dyslexia may include difficulties in reading comprehension and/or written expression. </w:t>
      </w:r>
    </w:p>
    <w:p w:rsidR="00B762AB" w:rsidRPr="007C392C" w:rsidRDefault="00D957AB" w:rsidP="007C392C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b w:val="0"/>
        </w:rPr>
      </w:pPr>
      <w:r w:rsidRPr="007C392C">
        <w:rPr>
          <w:rFonts w:ascii="Times New Roman" w:hAnsi="Times New Roman" w:cs="Times New Roman"/>
          <w:b w:val="0"/>
        </w:rPr>
        <w:t>These difficulties are unexpected or the student’s age, educational level, or cognitive abilities.</w:t>
      </w:r>
    </w:p>
    <w:p w:rsidR="00B762AB" w:rsidRPr="007C392C" w:rsidRDefault="00D957AB" w:rsidP="007C392C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b w:val="0"/>
        </w:rPr>
      </w:pPr>
      <w:r w:rsidRPr="007C392C">
        <w:rPr>
          <w:rFonts w:ascii="Times New Roman" w:hAnsi="Times New Roman" w:cs="Times New Roman"/>
          <w:b w:val="0"/>
        </w:rPr>
        <w:t xml:space="preserve">Additionally, there is often a family history of similar difficulties. </w:t>
      </w:r>
    </w:p>
    <w:p w:rsidR="007C392C" w:rsidRPr="007C392C" w:rsidRDefault="007C392C" w:rsidP="007C392C">
      <w:pPr>
        <w:spacing w:line="480" w:lineRule="auto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</w:rPr>
        <w:lastRenderedPageBreak/>
        <w:t>According to researchers, e</w:t>
      </w:r>
      <w:r w:rsidRPr="007C392C">
        <w:rPr>
          <w:rFonts w:ascii="Times New Roman" w:hAnsi="Times New Roman" w:cs="Times New Roman"/>
          <w:b w:val="0"/>
        </w:rPr>
        <w:t>arly identification is critical because the earlier the intervention</w:t>
      </w:r>
      <w:r>
        <w:rPr>
          <w:rFonts w:ascii="Times New Roman" w:hAnsi="Times New Roman" w:cs="Times New Roman"/>
          <w:b w:val="0"/>
        </w:rPr>
        <w:t>, the easier it is to remediate.</w:t>
      </w:r>
      <w:r w:rsidRPr="007C392C">
        <w:rPr>
          <w:rFonts w:ascii="Times New Roman" w:hAnsi="Times New Roman" w:cs="Times New Roman"/>
          <w:b w:val="0"/>
        </w:rPr>
        <w:t xml:space="preserve"> If at risk students are not provided intervention by age eight, they have a 74% chance of continuing their reading difficulties into high school.</w:t>
      </w:r>
      <w:r>
        <w:rPr>
          <w:rFonts w:ascii="Times New Roman" w:hAnsi="Times New Roman" w:cs="Times New Roman"/>
          <w:b w:val="0"/>
        </w:rPr>
        <w:t xml:space="preserve">  The dyslexic reader has a different brain that will change provided the right intervention. </w:t>
      </w:r>
      <w:r w:rsidRPr="007C392C">
        <w:rPr>
          <w:rFonts w:ascii="Times New Roman" w:hAnsi="Times New Roman" w:cs="Times New Roman"/>
          <w:b w:val="0"/>
          <w:bCs/>
        </w:rPr>
        <w:t xml:space="preserve">A phonologic weakness blocks decoding, </w:t>
      </w:r>
      <w:r w:rsidR="000E5AD8" w:rsidRPr="007C392C">
        <w:rPr>
          <w:rFonts w:ascii="Times New Roman" w:hAnsi="Times New Roman" w:cs="Times New Roman"/>
          <w:b w:val="0"/>
          <w:bCs/>
        </w:rPr>
        <w:t>this in turn interferes with word identification.</w:t>
      </w:r>
      <w:r w:rsidRPr="007C392C">
        <w:rPr>
          <w:rFonts w:ascii="Times New Roman" w:hAnsi="Times New Roman" w:cs="Times New Roman"/>
          <w:b w:val="0"/>
          <w:bCs/>
        </w:rPr>
        <w:t xml:space="preserve"> This prevents a dyslexic reader from applying his higher-level skills to get at a word’s meaning. But even if he can’t identify the word specifically, he</w:t>
      </w:r>
      <w:r>
        <w:rPr>
          <w:rFonts w:ascii="Times New Roman" w:hAnsi="Times New Roman" w:cs="Times New Roman"/>
          <w:b w:val="0"/>
          <w:bCs/>
        </w:rPr>
        <w:t>/she</w:t>
      </w:r>
      <w:r w:rsidRPr="007C392C">
        <w:rPr>
          <w:rFonts w:ascii="Times New Roman" w:hAnsi="Times New Roman" w:cs="Times New Roman"/>
          <w:b w:val="0"/>
          <w:bCs/>
        </w:rPr>
        <w:t xml:space="preserve"> can apply these higher-level skills to the context around the unknown word to guess at its meaning.</w:t>
      </w:r>
    </w:p>
    <w:p w:rsidR="007C392C" w:rsidRPr="007C392C" w:rsidRDefault="007C392C" w:rsidP="007C392C">
      <w:pPr>
        <w:rPr>
          <w:rFonts w:ascii="Times New Roman" w:hAnsi="Times New Roman" w:cs="Times New Roman"/>
          <w:b w:val="0"/>
        </w:rPr>
      </w:pPr>
    </w:p>
    <w:p w:rsidR="00880C59" w:rsidRPr="00880C59" w:rsidRDefault="00880C59" w:rsidP="00880C59">
      <w:pPr>
        <w:rPr>
          <w:rFonts w:ascii="Times New Roman" w:hAnsi="Times New Roman" w:cs="Times New Roman"/>
          <w:b w:val="0"/>
        </w:rPr>
      </w:pPr>
    </w:p>
    <w:sectPr w:rsidR="00880C59" w:rsidRPr="00880C59" w:rsidSect="005B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6866"/>
    <w:multiLevelType w:val="hybridMultilevel"/>
    <w:tmpl w:val="E2846FCE"/>
    <w:lvl w:ilvl="0" w:tplc="9F121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21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27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69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CC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C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2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4C19F4"/>
    <w:multiLevelType w:val="hybridMultilevel"/>
    <w:tmpl w:val="94B6B26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C59"/>
    <w:rsid w:val="000E5AD8"/>
    <w:rsid w:val="0012623A"/>
    <w:rsid w:val="005B6390"/>
    <w:rsid w:val="00711C9B"/>
    <w:rsid w:val="007C392C"/>
    <w:rsid w:val="00880C59"/>
    <w:rsid w:val="00B762AB"/>
    <w:rsid w:val="00D072F9"/>
    <w:rsid w:val="00D9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adley Hand ITC" w:eastAsiaTheme="minorHAnsi" w:hAnsi="Bradley Hand ITC" w:cstheme="majorBidi"/>
        <w:b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1C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/>
      <w:b w:val="0"/>
      <w:szCs w:val="24"/>
    </w:rPr>
  </w:style>
  <w:style w:type="paragraph" w:styleId="ListParagraph">
    <w:name w:val="List Paragraph"/>
    <w:basedOn w:val="Normal"/>
    <w:uiPriority w:val="34"/>
    <w:qFormat/>
    <w:rsid w:val="007C39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5414-D615-44D2-A7F4-20AA3ACB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2014-04-04T01:48:00Z</dcterms:created>
  <dcterms:modified xsi:type="dcterms:W3CDTF">2014-05-04T20:42:00Z</dcterms:modified>
</cp:coreProperties>
</file>